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85BD8E6" w:rsidR="00243B23" w:rsidRPr="008415B6" w:rsidRDefault="008415B6" w:rsidP="00243B23">
      <w:pPr>
        <w:spacing w:after="240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8415B6">
        <w:rPr>
          <w:rFonts w:ascii="Arial" w:eastAsia="Times New Roman" w:hAnsi="Arial" w:cs="Arial"/>
          <w:color w:val="333333"/>
          <w:sz w:val="28"/>
          <w:szCs w:val="28"/>
        </w:rPr>
        <w:t xml:space="preserve">Tender </w:t>
      </w:r>
      <w:r w:rsidR="00A25AFF">
        <w:rPr>
          <w:rFonts w:ascii="Arial" w:eastAsia="Times New Roman" w:hAnsi="Arial" w:cs="Arial"/>
          <w:color w:val="333333"/>
          <w:sz w:val="28"/>
          <w:szCs w:val="28"/>
        </w:rPr>
        <w:t xml:space="preserve">Stilmat™ </w:t>
      </w:r>
      <w:r w:rsidRPr="008415B6">
        <w:rPr>
          <w:rFonts w:ascii="Arial" w:eastAsia="Times New Roman" w:hAnsi="Arial" w:cs="Arial"/>
          <w:color w:val="333333"/>
          <w:sz w:val="28"/>
          <w:szCs w:val="28"/>
        </w:rPr>
        <w:t>Master brush</w:t>
      </w:r>
    </w:p>
    <w:tbl>
      <w:tblPr>
        <w:tblStyle w:val="PlainTable1"/>
        <w:tblW w:w="8924" w:type="dxa"/>
        <w:tblLook w:val="04A0" w:firstRow="1" w:lastRow="0" w:firstColumn="1" w:lastColumn="0" w:noHBand="0" w:noVBand="1"/>
      </w:tblPr>
      <w:tblGrid>
        <w:gridCol w:w="3335"/>
        <w:gridCol w:w="5589"/>
      </w:tblGrid>
      <w:tr w:rsidR="008415B6" w:rsidRPr="008415B6" w14:paraId="5DB0E3CD" w14:textId="77777777" w:rsidTr="0084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614AF585" w14:textId="7672634D" w:rsidR="003913E1" w:rsidRPr="008415B6" w:rsidRDefault="005D52E3" w:rsidP="00A25AF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589" w:type="dxa"/>
            <w:hideMark/>
          </w:tcPr>
          <w:p w14:paraId="13B9E5C8" w14:textId="4D5444BE" w:rsidR="003913E1" w:rsidRPr="008415B6" w:rsidRDefault="00215680" w:rsidP="008415B6">
            <w:pPr>
              <w:spacing w:after="271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Master brush STILMAT  is special outdoor mat, that pairs scraping</w:t>
            </w:r>
            <w:r w:rsidR="008415B6"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qualities with moisture absorption. Textile look. It has characteristics of STILMAT lux brushes and it changes any rubber,</w:t>
            </w:r>
            <w:r w:rsidR="008415B6"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brush or carpet mat or inlay.</w:t>
            </w:r>
            <w:r w:rsid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841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Weather resistant.</w:t>
            </w:r>
          </w:p>
        </w:tc>
      </w:tr>
      <w:tr w:rsidR="008415B6" w:rsidRPr="008415B6" w14:paraId="1385DD33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2675876" w14:textId="34494016" w:rsidR="008415B6" w:rsidRPr="008415B6" w:rsidRDefault="008415B6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589" w:type="dxa"/>
          </w:tcPr>
          <w:p w14:paraId="11B979E4" w14:textId="7D043140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MATER BRUSH STILMAT - doormat, rug, inlay</w:t>
            </w:r>
          </w:p>
        </w:tc>
      </w:tr>
      <w:tr w:rsidR="008415B6" w:rsidRPr="008415B6" w14:paraId="57F1FF4F" w14:textId="77777777" w:rsidTr="008415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66200783" w14:textId="1C01D56E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589" w:type="dxa"/>
            <w:hideMark/>
          </w:tcPr>
          <w:p w14:paraId="75CD16D6" w14:textId="4F95CC45" w:rsidR="00243B23" w:rsidRPr="008415B6" w:rsidRDefault="0021568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MB</w:t>
            </w:r>
            <w:r w:rsidR="00243B23" w:rsidRPr="008415B6">
              <w:rPr>
                <w:rFonts w:ascii="Arial" w:hAnsi="Arial" w:cs="Arial"/>
                <w:sz w:val="20"/>
                <w:szCs w:val="20"/>
              </w:rPr>
              <w:t>-DCC</w:t>
            </w:r>
          </w:p>
        </w:tc>
      </w:tr>
      <w:tr w:rsidR="008415B6" w:rsidRPr="008415B6" w14:paraId="38EB7834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79DC655E" w14:textId="639C2EEB" w:rsidR="00243B23" w:rsidRPr="008415B6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Characteristics </w:t>
            </w:r>
          </w:p>
        </w:tc>
        <w:tc>
          <w:tcPr>
            <w:tcW w:w="5589" w:type="dxa"/>
            <w:hideMark/>
          </w:tcPr>
          <w:p w14:paraId="1729C807" w14:textId="056F89CD" w:rsidR="00243B23" w:rsidRPr="008415B6" w:rsidRDefault="0021568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Out</w:t>
            </w:r>
            <w:r w:rsidR="005D52E3" w:rsidRPr="008415B6">
              <w:rPr>
                <w:rFonts w:ascii="Arial" w:hAnsi="Arial" w:cs="Arial"/>
                <w:sz w:val="20"/>
                <w:szCs w:val="20"/>
              </w:rPr>
              <w:t>door, super absorbing and scraping</w:t>
            </w:r>
          </w:p>
        </w:tc>
      </w:tr>
      <w:tr w:rsidR="008415B6" w:rsidRPr="008415B6" w14:paraId="27B46A8E" w14:textId="77777777" w:rsidTr="008415B6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0C9D72E" w14:textId="79C0DDAF" w:rsidR="008415B6" w:rsidRPr="008415B6" w:rsidRDefault="008415B6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589" w:type="dxa"/>
          </w:tcPr>
          <w:p w14:paraId="1A50C579" w14:textId="230630F3" w:rsidR="008415B6" w:rsidRPr="008415B6" w:rsidRDefault="008415B6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8415B6" w:rsidRPr="008415B6" w14:paraId="1C8CD77F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3C6F3D8E" w14:textId="463A0377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589" w:type="dxa"/>
            <w:hideMark/>
          </w:tcPr>
          <w:p w14:paraId="12994230" w14:textId="6AA89ADC" w:rsidR="00243B23" w:rsidRPr="008415B6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8415B6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8415B6" w:rsidRPr="008415B6" w14:paraId="5F6F6218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6233F57B" w14:textId="45BA4AB9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589" w:type="dxa"/>
            <w:hideMark/>
          </w:tcPr>
          <w:p w14:paraId="7E5D616C" w14:textId="5D587AC0" w:rsidR="00243B23" w:rsidRPr="008415B6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8415B6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8415B6" w:rsidRPr="008415B6" w14:paraId="078507B3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4F132848" w14:textId="0AC61549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589" w:type="dxa"/>
            <w:hideMark/>
          </w:tcPr>
          <w:p w14:paraId="6960E290" w14:textId="37792D19" w:rsidR="00EC1986" w:rsidRPr="008415B6" w:rsidRDefault="00215680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Bouclé construction</w:t>
            </w:r>
          </w:p>
          <w:p w14:paraId="2CFD2BC6" w14:textId="726143F9" w:rsidR="00243B23" w:rsidRPr="008415B6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B6" w:rsidRPr="008415B6" w14:paraId="0B364CC7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15851D6B" w14:textId="1959D081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589" w:type="dxa"/>
            <w:hideMark/>
          </w:tcPr>
          <w:p w14:paraId="2EC65EF9" w14:textId="6E1EFDB2" w:rsidR="00243B23" w:rsidRPr="008415B6" w:rsidRDefault="00DE586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8415B6" w:rsidRPr="008415B6" w14:paraId="6A3A1F70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124B7842" w14:textId="36D6FBC7" w:rsidR="00243B23" w:rsidRPr="008415B6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589" w:type="dxa"/>
            <w:hideMark/>
          </w:tcPr>
          <w:p w14:paraId="745133B8" w14:textId="7BFFB51B" w:rsidR="00243B23" w:rsidRPr="008415B6" w:rsidRDefault="00215680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 2.95</w:t>
            </w:r>
            <w:r w:rsidR="002B53FD" w:rsidRPr="008415B6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8415B6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8415B6" w:rsidRPr="008415B6" w14:paraId="314A1653" w14:textId="77777777" w:rsidTr="008415B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52D506CB" w14:textId="4F4235EF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 ISO 1765</w:t>
            </w:r>
          </w:p>
        </w:tc>
        <w:tc>
          <w:tcPr>
            <w:tcW w:w="5589" w:type="dxa"/>
            <w:hideMark/>
          </w:tcPr>
          <w:p w14:paraId="5172844B" w14:textId="3A1BE97E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 8.5 mm</w:t>
            </w:r>
          </w:p>
        </w:tc>
      </w:tr>
      <w:tr w:rsidR="008415B6" w:rsidRPr="008415B6" w14:paraId="3F21A173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2474945" w14:textId="5BD94E2E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 EN 1307</w:t>
            </w:r>
          </w:p>
        </w:tc>
        <w:tc>
          <w:tcPr>
            <w:tcW w:w="5589" w:type="dxa"/>
          </w:tcPr>
          <w:p w14:paraId="03D28AC0" w14:textId="3A991886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8415B6" w:rsidRPr="008415B6" w14:paraId="4FF577B4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799FFE7E" w14:textId="1E4E900B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 EN 1963</w:t>
            </w:r>
          </w:p>
        </w:tc>
        <w:tc>
          <w:tcPr>
            <w:tcW w:w="5589" w:type="dxa"/>
          </w:tcPr>
          <w:p w14:paraId="09F32595" w14:textId="46F8B4C9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8415B6" w:rsidRPr="008415B6" w14:paraId="305EEC32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16FE2589" w14:textId="4E3C651A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 EN 1307</w:t>
            </w:r>
          </w:p>
        </w:tc>
        <w:tc>
          <w:tcPr>
            <w:tcW w:w="5589" w:type="dxa"/>
          </w:tcPr>
          <w:p w14:paraId="2EF2B6E3" w14:textId="7DFF675D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LC1</w:t>
            </w:r>
          </w:p>
        </w:tc>
      </w:tr>
      <w:tr w:rsidR="008415B6" w:rsidRPr="008415B6" w14:paraId="5457BD87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49809D0" w14:textId="4A2D6195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589" w:type="dxa"/>
          </w:tcPr>
          <w:p w14:paraId="17BD4DA0" w14:textId="4A056247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8415B6" w:rsidRPr="008415B6" w14:paraId="7031AAA7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50ECC0B" w14:textId="14CC2CFC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589" w:type="dxa"/>
          </w:tcPr>
          <w:p w14:paraId="63B6A054" w14:textId="77E66C20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3.7 l/m²</w:t>
            </w:r>
          </w:p>
        </w:tc>
      </w:tr>
      <w:tr w:rsidR="008415B6" w:rsidRPr="008415B6" w14:paraId="0491FC6C" w14:textId="77777777" w:rsidTr="008415B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3C6CB756" w14:textId="5DCF0ABF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589" w:type="dxa"/>
            <w:hideMark/>
          </w:tcPr>
          <w:p w14:paraId="31C24306" w14:textId="6ADC3CCB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8415B6" w:rsidRPr="008415B6" w14:paraId="6BB8D5D4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6009EA4E" w14:textId="1E1517CE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589" w:type="dxa"/>
          </w:tcPr>
          <w:p w14:paraId="776EAB91" w14:textId="2A3F0E95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8415B6" w:rsidRPr="008415B6" w14:paraId="37A4A3CF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CF02578" w14:textId="64197830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589" w:type="dxa"/>
          </w:tcPr>
          <w:p w14:paraId="13DA4563" w14:textId="6F5679A2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</w:tr>
      <w:tr w:rsidR="008415B6" w:rsidRPr="008415B6" w14:paraId="3872B127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422D028F" w14:textId="5B6657D2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589" w:type="dxa"/>
          </w:tcPr>
          <w:p w14:paraId="53C7F0EE" w14:textId="49E719B7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8415B6" w:rsidRPr="008415B6" w14:paraId="3A38C097" w14:textId="77777777" w:rsidTr="008415B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23030514" w14:textId="0CBA17CD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589" w:type="dxa"/>
            <w:hideMark/>
          </w:tcPr>
          <w:p w14:paraId="45E696EC" w14:textId="5A2FDB54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 xml:space="preserve">Up to 2000mm  Width, 25000mm length </w:t>
            </w:r>
          </w:p>
        </w:tc>
      </w:tr>
      <w:tr w:rsidR="008415B6" w:rsidRPr="008415B6" w14:paraId="381EAD47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E412711" w14:textId="78FE06C5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589" w:type="dxa"/>
          </w:tcPr>
          <w:p w14:paraId="14847239" w14:textId="4456AAED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8415B6" w:rsidRPr="008415B6" w14:paraId="152D8A4F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BEA5BF5" w14:textId="4BE82D93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589" w:type="dxa"/>
          </w:tcPr>
          <w:p w14:paraId="38D66D58" w14:textId="25293453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8415B6" w:rsidRPr="008415B6" w14:paraId="1565AF57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0F1FBB2A" w14:textId="38C9186A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589" w:type="dxa"/>
          </w:tcPr>
          <w:p w14:paraId="4F5BF227" w14:textId="15BA6032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>Outdoor or covered space with high traffic</w:t>
            </w:r>
          </w:p>
        </w:tc>
      </w:tr>
      <w:tr w:rsidR="008415B6" w:rsidRPr="008415B6" w14:paraId="2399AC08" w14:textId="77777777" w:rsidTr="008415B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79046907" w14:textId="2A090ECB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589" w:type="dxa"/>
          </w:tcPr>
          <w:p w14:paraId="393E3C3C" w14:textId="3889572A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hAnsi="Arial" w:cs="Arial"/>
                <w:sz w:val="20"/>
                <w:szCs w:val="20"/>
              </w:rPr>
              <w:t xml:space="preserve">I, II </w:t>
            </w:r>
          </w:p>
        </w:tc>
      </w:tr>
      <w:tr w:rsidR="008415B6" w:rsidRPr="008415B6" w14:paraId="04C0DC7F" w14:textId="77777777" w:rsidTr="0084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59696767" w14:textId="53B645E0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5589" w:type="dxa"/>
          </w:tcPr>
          <w:p w14:paraId="3BB0B29C" w14:textId="5FDDF8F3" w:rsidR="008415B6" w:rsidRPr="008415B6" w:rsidRDefault="008415B6" w:rsidP="0084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 (EU)</w:t>
            </w:r>
          </w:p>
        </w:tc>
      </w:tr>
      <w:tr w:rsidR="008415B6" w:rsidRPr="008415B6" w14:paraId="3B8B849D" w14:textId="77777777" w:rsidTr="008415B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14:paraId="75D7B519" w14:textId="68D2E4B4" w:rsidR="008415B6" w:rsidRPr="008415B6" w:rsidRDefault="008415B6" w:rsidP="008415B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5589" w:type="dxa"/>
            <w:hideMark/>
          </w:tcPr>
          <w:p w14:paraId="6F4B6C6D" w14:textId="399EFD65" w:rsidR="008415B6" w:rsidRPr="008415B6" w:rsidRDefault="008415B6" w:rsidP="0084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STILMAT</w:t>
            </w:r>
          </w:p>
        </w:tc>
      </w:tr>
    </w:tbl>
    <w:p w14:paraId="726B4DFA" w14:textId="43DC5581" w:rsidR="00781CFC" w:rsidRPr="008415B6" w:rsidRDefault="00C75231" w:rsidP="008415B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415B6"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</w:p>
    <w:sectPr w:rsidR="00781CFC" w:rsidRPr="008415B6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215680"/>
    <w:rsid w:val="00243B23"/>
    <w:rsid w:val="002B53FD"/>
    <w:rsid w:val="00364B59"/>
    <w:rsid w:val="003913E1"/>
    <w:rsid w:val="004D2DD8"/>
    <w:rsid w:val="005D52E3"/>
    <w:rsid w:val="00781CFC"/>
    <w:rsid w:val="0081302F"/>
    <w:rsid w:val="008415B6"/>
    <w:rsid w:val="00955DB1"/>
    <w:rsid w:val="009B0725"/>
    <w:rsid w:val="009E5A20"/>
    <w:rsid w:val="00A25AFF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47B50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5680"/>
    <w:pPr>
      <w:ind w:left="720"/>
      <w:contextualSpacing/>
    </w:pPr>
  </w:style>
  <w:style w:type="table" w:styleId="PlainTable1">
    <w:name w:val="Plain Table 1"/>
    <w:basedOn w:val="TableNormal"/>
    <w:uiPriority w:val="99"/>
    <w:rsid w:val="00841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10</cp:revision>
  <dcterms:created xsi:type="dcterms:W3CDTF">2019-12-30T11:39:00Z</dcterms:created>
  <dcterms:modified xsi:type="dcterms:W3CDTF">2020-12-23T10:11:00Z</dcterms:modified>
</cp:coreProperties>
</file>